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84" w:right="-2" w:firstLine="595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к письму Ростехнадзора</w:t>
      </w:r>
    </w:p>
    <w:p>
      <w:pPr>
        <w:pStyle w:val="Normal"/>
        <w:ind w:left="-284" w:right="-2" w:firstLine="595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>от ___ декабря 2022 г. № _________</w:t>
      </w:r>
    </w:p>
    <w:p>
      <w:pPr>
        <w:pStyle w:val="Normal"/>
        <w:ind w:left="-284" w:right="-2" w:firstLine="851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УРОКИ, ИЗВЛЕЧЕННЫЕ ИЗ АВАРИИ</w:t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(Форма)</w:t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10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255"/>
        <w:gridCol w:w="7229"/>
      </w:tblGrid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18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июля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2019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г.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Акционерное общество «Концерн Росэнергоатом» филиал «Калининская атомная станция»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АО «Концерн Росэнергоатом»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Тверская область, г. Удомля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Нарушения в работе противоаварийной или режимной автоматики, в том числе обусловленные ошибочными действиями персонала, вызвавшие отключение объекта электросетевого хозяйства (высший класс напряжения 110 кВ и выше), отключение (включение) генерирующего оборудования, суммарная мощность которого составляет 100 МВт и более, или прекращение электроснабжения потребителей электрической энергии, суммарная мощность потребления которых составляет 100 МВт и более;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Повреждение объекта электросетевого хозяйства (высший класс напряжения 6 кВ и выше) в электрических сетях или на электростанции, а также отключение такого объекта действием автоматических защитных устройств или оперативным персоналом вследствие недопустимых отклонений технологических параметров или ошибочных действий оперативного персонала, в том числе вызвавшее обесточивание резервных трансформаторов собственных нужд атомной электростанции;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Неправильные действия защитных устройств и (или) систем автоматики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раткое описание аварии: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18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июля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2019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в 05:02:25,060 на ОРУ 750 кВ Калининской АЭС вследствие механического повреждения оптоволоконного кабеля, подвязанного к ошиновке фазы «С» 750 кВ между ТТ В-91 и выключателем 750 кВ В-91, и провисания его с касанием металлических конструкций подставной изолирующей опоры ошиновки 750 кВ, произошло однофазное КЗ (короткое замыкание) на I СШ-750 в «мертвой» зоне между трансформатором тока ТТ-91 и выключателем 750 кВ В-91.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Последствия аварии:</w:t>
            </w:r>
          </w:p>
          <w:p>
            <w:pPr>
              <w:pStyle w:val="Style17"/>
              <w:widowControl w:val="false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овреждение оптоволоконного кабеля между ТТ В-91 и В-91 (отключение выключателей 750 кВ В-51, В-61, В-71 и В-81 действием трехфазного УРОВ В-91 в составе комплекта РЗА № 1 В-91 (ОАПВ, ТАПВ, УРОВ, АУВ) (7VK61) и УРОВ В-91 № 2 (7VK61))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1. Технические причины аварии:</w:t>
            </w:r>
          </w:p>
          <w:p>
            <w:pPr>
              <w:pStyle w:val="Style17"/>
              <w:widowControl w:val="false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.1 Механическое повреждение оптоволоконного кабеля в результате его перетирания о распорку ошиновки фазы «С» 750 кВ и как следствие его обрыв и замыкание на металлоконструкцию подставной изолирующей опоры ошиновки 750 кВ;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1.2 КЗ с электродуговым повреждением изоляторов подставной промежуточной изолирующей опоры ошиновки 750 кВ между ТТ В-91 и В-91 вследствие механического повреждения (обрыва) оптоволоконного кабеля системы РЗМЗ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2. Организационные причины аварии:</w:t>
            </w:r>
            <w:bookmarkStart w:id="0" w:name="_GoBack"/>
            <w:bookmarkEnd w:id="0"/>
          </w:p>
          <w:p>
            <w:pPr>
              <w:pStyle w:val="Style17"/>
              <w:widowControl w:val="false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2.1 При проектировании системы РЗМЗ применен оптоволоконный кабель с эксплуатационными характеристиками, несоответствующими для применения в ОРУ 750 кВ: кабель марки ОКЛЖ предназначен для воздушной прокладки ВОЛС-ВЛ при повышенных требованиях к механическим параметрам подвески по опорам городского энергохозяйства, по опорам контактной сети ЖД, ВЛС, воздушной прокладки по опорам городского энергохозяйства, прокладки по лоткам и эстакадам и не может эксплуатироваться в условиях интенсивного разряда короны, обусловленных сверх высоким потенциалом с креплением к ошиновке РУ.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2.2 При проведении обходов и осмотров ОРУ 750 кВ оперативным и административно-техническим персоналом Калининской АЭС не выявлен дефект оптоволоконного кабеля и стяжек крепления;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2.3 После принятия в 2018 году АО «Концерн Росэнергоатом» решения о необходимости демонтировать систему РЗМЗ, демонтаж не был выполнен.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3. Технические мероприятия:</w:t>
            </w:r>
          </w:p>
          <w:p>
            <w:pPr>
              <w:pStyle w:val="Style17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3.1 Выполнить ремонт шинной промежуточной опоры «фаза «С» между выключателем 750 кВ В-91 и ТТ В-91» с заменой дефектных опорных изоляторов;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3.2 Выполнить демонтаж оптоволоконного кабеля системы РЗМЗ, установленного в ячейке выключателя В-91 на ОРУ 750 кВ;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3.3 Выполнить демонтаж выносных релейных блоков, приемо-передающих устройств, установленных в ячейке выключателя В-91 на ОРУ 750 кВ.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4. Организационные мероприятия:</w:t>
            </w:r>
          </w:p>
          <w:p>
            <w:pPr>
              <w:pStyle w:val="Style17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4.1 В соответствии с п. 15 Положения об организации работы по подготовке и аттестации специалистов организаций поднадзорных Ростехнадзору, утвержденного Приказом Ростехнадзора от 29.01.2007, главному инженеру Калининской АЭС Дорофееву А.Е. пройти внеочередную аттестацию в Центральной аттестационной комиссии Ростехнадзора;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4.2 В соответствии с п. 15 Положения об организации работы по подготовке и аттестации специалистов организаций поднадзорных Ростехнадзору, утвержденного Приказом Ростехнадзора от 29.01.2007, заместителю начальника электрического цеха по эксплуатации ОСО Калининской АЭС Лимонову С.И. пройти внеочередную аттестацию в Центральной аттестационной комиссии Ростехнадзора;;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4.3 Провести совместное совещание с участием с ООО «Сименс» и АО «СО ЕЭС» с целью разработки технического решения по корректировке заводской «жесткой» логики работы функции УРОВ в терминале 7VK611, предотвращающего сброс выдержки времени «однофазного» УРОВ при действии защит на отключение трех фаз;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4.4 Разработать мероприятия по усилению контроля за проведением периодических и внеплановых осмотров электротехнического оборудования ОРУ 750 кВ, (проводить периодический контроль за качеством проведения осмотров со стороны вышестоящего инженерно-технического персонала и пр.);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4.5 Разработать график проведения проверок защит от потери питания СУЗ на Блоках 1, 3, 4;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4.6 Разработать план мероприятий по проведению испытаний реализации управляющих воздействий от устройств противоаварийной автоматики на КРТ Блока 3 Калининской АЭС;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4.7 АО «Концерн Росэнергоатом» обратиться в ООО НПП «ЭКРА» с предложением доработки системы РЗМЗ, обеспечивающей ликвидацию коротких замыканий в зоне между выключателем и его трансформатором тока со временем, не превышающим время действия основных защит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 xml:space="preserve">4.8 </w:t>
            </w:r>
            <w:r>
              <w:rPr>
                <w:rFonts w:eastAsia="Times New Roman" w:cs="Times New Roman" w:ascii="Times New Roman" w:hAnsi="Times New Roman"/>
                <w:color w:val="auto"/>
              </w:rPr>
              <w:t>Выполнить проверку и перерасчет параметров настройки ДЗ генератора Блока 4.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5.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.1 Провести испытания реализации управляющих воздействий от устройств противоаварийной автоматики на КРТ Блока №3 в соответствии с разработанным графиком;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5.2 Выполнить реализацию приоритета команд ПА в ЭЧСР Блока 3 в соответствии с техническим решением от 14.02.2019 № 34.SE.TP.2723.46.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5.3. Выполнить демонтаж оптоволоконного кабеля системы РЗМЗ, установленного в ячейке выключателя В-91 на ОРУ 750 кВ;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5.4. Выполнить демонтаж выносных релейных блоков, приемо-передающих устройств, установленных в ячейке выключателя В-91 на ОРУ 750 кВ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5.5. Выполнить ремонт шинной промежуточной опоры «фаза «С» между выключателем 750 кВ В-91 и ТТ В-91» с заменой дефектных опорных изоляторов;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5.6. .Реализовать скорректированные в соответствии с пунктом 3.2.5 настоящего акта проектные решения по изменению места подключения трансформатора тока ТАЗ 5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5.7. Вывести действие 1, 2 комплектов дистанционной защиты генератора Блока 4 на «сигнал» до перерасчета параметров настройки защиты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5.8. Выполнить перестройку параметров настройки 1, 2 комплектов дистанционной защиты генератора Блока 4</w:t>
            </w:r>
          </w:p>
        </w:tc>
      </w:tr>
      <w:tr>
        <w:trPr>
          <w:trHeight w:val="6661" w:hRule="atLeas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6. Фото места происшествия.</w:t>
            </w:r>
          </w:p>
          <w:p>
            <w:pPr>
              <w:pStyle w:val="Style17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 w:val="false"/>
              <w:ind w:left="-105" w:hanging="0"/>
              <w:rPr>
                <w:color w:val="FF0000"/>
              </w:rPr>
            </w:pPr>
            <w:r>
              <w:rPr/>
            </w:r>
          </w:p>
        </w:tc>
      </w:tr>
    </w:tbl>
    <w:p>
      <w:pPr>
        <w:pStyle w:val="Standard"/>
        <w:jc w:val="center"/>
        <w:rPr>
          <w:sz w:val="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851" w:footer="72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XO Thames">
    <w:charset w:val="01"/>
    <w:family w:val="swiss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XO Thames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b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empora LGC Uni" w:cs="Tempora LGC Un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empora LGC Uni" w:hAnsi="Tempora LGC Uni" w:eastAsia="Tempora LGC Uni" w:cs="Tempora LGC Uni"/>
      <w:color w:val="000000"/>
      <w:kern w:val="2"/>
      <w:sz w:val="24"/>
      <w:szCs w:val="24"/>
      <w:lang w:val="ru-RU" w:eastAsia="ru-RU" w:bidi="ar-SA"/>
    </w:rPr>
  </w:style>
  <w:style w:type="paragraph" w:styleId="1">
    <w:name w:val="Heading 1"/>
    <w:basedOn w:val="Standard"/>
    <w:next w:val="Standard"/>
    <w:qFormat/>
    <w:pPr>
      <w:spacing w:before="120" w:after="120"/>
      <w:outlineLvl w:val="0"/>
    </w:pPr>
    <w:rPr>
      <w:rFonts w:ascii="XO Thames" w:hAnsi="XO Thames" w:eastAsia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qFormat/>
    <w:pPr>
      <w:spacing w:before="120" w:after="120"/>
      <w:outlineLvl w:val="1"/>
    </w:pPr>
    <w:rPr>
      <w:rFonts w:ascii="XO Thames" w:hAnsi="XO Thames" w:eastAsia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qFormat/>
    <w:pPr>
      <w:outlineLvl w:val="2"/>
    </w:pPr>
    <w:rPr>
      <w:rFonts w:ascii="XO Thames" w:hAnsi="XO Thames" w:eastAsia="XO Thames" w:cs="XO Thames"/>
      <w:b/>
      <w:bCs/>
      <w:i/>
      <w:iCs/>
    </w:rPr>
  </w:style>
  <w:style w:type="paragraph" w:styleId="4">
    <w:name w:val="Heading 4"/>
    <w:basedOn w:val="Standard"/>
    <w:next w:val="Standard"/>
    <w:qFormat/>
    <w:pPr>
      <w:spacing w:before="120" w:after="120"/>
      <w:outlineLvl w:val="3"/>
    </w:pPr>
    <w:rPr>
      <w:rFonts w:ascii="XO Thames" w:hAnsi="XO Thames" w:eastAsia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qFormat/>
    <w:pPr>
      <w:spacing w:before="120" w:after="120"/>
      <w:outlineLvl w:val="4"/>
    </w:pPr>
    <w:rPr>
      <w:rFonts w:ascii="XO Thames" w:hAnsi="XO Thames" w:eastAsia="XO Thames" w:cs="XO Thames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Верхний колонтитул Знак"/>
    <w:basedOn w:val="DefaultParagraphFont"/>
    <w:qFormat/>
    <w:rPr/>
  </w:style>
  <w:style w:type="character" w:styleId="Style10" w:customStyle="1">
    <w:name w:val="Нижний колонтитул Знак"/>
    <w:basedOn w:val="DefaultParagraphFont"/>
    <w:qFormat/>
    <w:rPr/>
  </w:style>
  <w:style w:type="paragraph" w:styleId="Style11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Open Sans" w:hAnsi="Open Sans" w:eastAsia="Open Sans" w:cs="Open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Textbody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 w:customStyle="1">
    <w:name w:val="Указатель"/>
    <w:basedOn w:val="Standard"/>
    <w:qFormat/>
    <w:pPr/>
    <w:rPr/>
  </w:style>
  <w:style w:type="paragraph" w:styleId="Contents2" w:customStyle="1">
    <w:name w:val="Contents 2"/>
    <w:basedOn w:val="Standard"/>
    <w:next w:val="Standard"/>
    <w:qFormat/>
    <w:pPr>
      <w:ind w:left="200" w:hanging="0"/>
    </w:pPr>
    <w:rPr/>
  </w:style>
  <w:style w:type="paragraph" w:styleId="Contents4" w:customStyle="1">
    <w:name w:val="Contents 4"/>
    <w:basedOn w:val="Standard"/>
    <w:next w:val="Standard"/>
    <w:qFormat/>
    <w:pPr>
      <w:ind w:left="600" w:hanging="0"/>
    </w:pPr>
    <w:rPr/>
  </w:style>
  <w:style w:type="paragraph" w:styleId="Style16" w:customStyle="1">
    <w:name w:val="Текст выноски Знак"/>
    <w:basedOn w:val="11"/>
    <w:qFormat/>
    <w:pPr/>
    <w:rPr>
      <w:rFonts w:ascii="Tahoma" w:hAnsi="Tahoma" w:eastAsia="Tahoma" w:cs="Tahoma"/>
      <w:sz w:val="16"/>
      <w:szCs w:val="16"/>
    </w:rPr>
  </w:style>
  <w:style w:type="paragraph" w:styleId="Contents6" w:customStyle="1">
    <w:name w:val="Contents 6"/>
    <w:basedOn w:val="Standard"/>
    <w:next w:val="Standard"/>
    <w:qFormat/>
    <w:pPr>
      <w:ind w:left="1000" w:hanging="0"/>
    </w:pPr>
    <w:rPr/>
  </w:style>
  <w:style w:type="paragraph" w:styleId="Contents7" w:customStyle="1">
    <w:name w:val="Contents 7"/>
    <w:basedOn w:val="Standard"/>
    <w:next w:val="Standard"/>
    <w:qFormat/>
    <w:pPr>
      <w:ind w:left="1200" w:hanging="0"/>
    </w:pPr>
    <w:rPr/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empora LGC Uni" w:hAnsi="Tempora LGC Uni" w:eastAsia="Tempora LGC Uni" w:cs="Tempora LGC Uni"/>
      <w:color w:val="000000"/>
      <w:kern w:val="2"/>
      <w:sz w:val="24"/>
      <w:szCs w:val="24"/>
      <w:lang w:val="ru-RU" w:eastAsia="ru-RU" w:bidi="ar-SA"/>
    </w:rPr>
  </w:style>
  <w:style w:type="paragraph" w:styleId="Style17" w:customStyle="1">
    <w:name w:val="Содержимое таблицы"/>
    <w:basedOn w:val="Standard"/>
    <w:qFormat/>
    <w:pPr>
      <w:widowControl w:val="false"/>
    </w:pPr>
    <w:rPr/>
  </w:style>
  <w:style w:type="paragraph" w:styleId="BalloonText">
    <w:name w:val="Balloon Text"/>
    <w:basedOn w:val="Normal"/>
    <w:uiPriority w:val="99"/>
    <w:qFormat/>
    <w:pPr/>
    <w:rPr>
      <w:rFonts w:ascii="Tahoma" w:hAnsi="Tahoma" w:eastAsia="Tahoma" w:cs="Tahoma"/>
      <w:sz w:val="16"/>
      <w:szCs w:val="16"/>
    </w:rPr>
  </w:style>
  <w:style w:type="paragraph" w:styleId="Contents3" w:customStyle="1">
    <w:name w:val="Contents 3"/>
    <w:basedOn w:val="Standard"/>
    <w:next w:val="Standard"/>
    <w:qFormat/>
    <w:pPr>
      <w:ind w:left="400" w:hanging="0"/>
    </w:pPr>
    <w:rPr/>
  </w:style>
  <w:style w:type="paragraph" w:styleId="11" w:customStyle="1">
    <w:name w:val="Основной шрифт абзаца1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empora LGC Uni" w:hAnsi="Tempora LGC Uni" w:eastAsia="Tempora LGC Uni" w:cs="Tempora LGC Uni"/>
      <w:color w:val="000000"/>
      <w:kern w:val="2"/>
      <w:sz w:val="24"/>
      <w:szCs w:val="24"/>
      <w:lang w:val="ru-RU" w:eastAsia="ru-RU" w:bidi="ar-SA"/>
    </w:rPr>
  </w:style>
  <w:style w:type="paragraph" w:styleId="Caption">
    <w:name w:val="caption"/>
    <w:basedOn w:val="Standard"/>
    <w:qFormat/>
    <w:pPr>
      <w:spacing w:before="120" w:after="120"/>
    </w:pPr>
    <w:rPr>
      <w:i/>
      <w:iCs/>
    </w:rPr>
  </w:style>
  <w:style w:type="paragraph" w:styleId="Internetlink" w:customStyle="1">
    <w:name w:val="Hyperlink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empora LGC Uni" w:hAnsi="Tempora LGC Uni" w:eastAsia="Tempora LGC Uni" w:cs="Tempora LGC Uni"/>
      <w:color w:val="0000FF"/>
      <w:kern w:val="2"/>
      <w:sz w:val="24"/>
      <w:szCs w:val="24"/>
      <w:u w:val="single"/>
      <w:lang w:val="ru-RU" w:eastAsia="ru-RU" w:bidi="ar-SA"/>
    </w:rPr>
  </w:style>
  <w:style w:type="paragraph" w:styleId="Footnote" w:customStyle="1">
    <w:name w:val="Footnote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XO Thames" w:hAnsi="XO Thames" w:eastAsia="XO Thames" w:cs="XO Thames"/>
      <w:color w:val="000000"/>
      <w:kern w:val="2"/>
      <w:sz w:val="22"/>
      <w:szCs w:val="22"/>
      <w:lang w:val="ru-RU" w:eastAsia="ru-RU" w:bidi="ar-SA"/>
    </w:rPr>
  </w:style>
  <w:style w:type="paragraph" w:styleId="Contents1" w:customStyle="1">
    <w:name w:val="Contents 1"/>
    <w:basedOn w:val="Standard"/>
    <w:next w:val="Standard"/>
    <w:qFormat/>
    <w:pPr/>
    <w:rPr>
      <w:rFonts w:ascii="XO Thames" w:hAnsi="XO Thames" w:eastAsia="XO Thames" w:cs="XO Thames"/>
      <w:b/>
      <w:bCs/>
    </w:rPr>
  </w:style>
  <w:style w:type="paragraph" w:styleId="Style18" w:customStyle="1">
    <w:name w:val="Колонтитул"/>
    <w:qFormat/>
    <w:pPr>
      <w:widowControl/>
      <w:suppressAutoHyphens w:val="true"/>
      <w:overflowPunct w:val="true"/>
      <w:bidi w:val="0"/>
      <w:spacing w:lineRule="auto" w:line="360" w:before="0" w:after="0"/>
      <w:jc w:val="left"/>
      <w:textAlignment w:val="baseline"/>
    </w:pPr>
    <w:rPr>
      <w:rFonts w:ascii="XO Thames" w:hAnsi="XO Thames" w:eastAsia="XO Thames" w:cs="XO Thames"/>
      <w:color w:val="000000"/>
      <w:kern w:val="2"/>
      <w:sz w:val="20"/>
      <w:szCs w:val="20"/>
      <w:lang w:val="ru-RU" w:eastAsia="ru-RU" w:bidi="ar-SA"/>
    </w:rPr>
  </w:style>
  <w:style w:type="paragraph" w:styleId="Contents9" w:customStyle="1">
    <w:name w:val="Contents 9"/>
    <w:basedOn w:val="Standard"/>
    <w:next w:val="Standard"/>
    <w:qFormat/>
    <w:pPr>
      <w:ind w:left="1600" w:hanging="0"/>
    </w:pPr>
    <w:rPr/>
  </w:style>
  <w:style w:type="paragraph" w:styleId="Contents8" w:customStyle="1">
    <w:name w:val="Contents 8"/>
    <w:basedOn w:val="Standard"/>
    <w:next w:val="Standard"/>
    <w:qFormat/>
    <w:pPr>
      <w:ind w:left="1400" w:hanging="0"/>
    </w:pPr>
    <w:rPr/>
  </w:style>
  <w:style w:type="paragraph" w:styleId="Contents5" w:customStyle="1">
    <w:name w:val="Contents 5"/>
    <w:basedOn w:val="Standard"/>
    <w:next w:val="Standard"/>
    <w:qFormat/>
    <w:pPr>
      <w:ind w:left="800" w:hanging="0"/>
    </w:pPr>
    <w:rPr/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empora LGC Uni" w:hAnsi="Tempora LGC Uni" w:eastAsia="Tempora LGC Uni" w:cs="Tempora LGC Uni"/>
      <w:color w:val="000000"/>
      <w:kern w:val="2"/>
      <w:sz w:val="24"/>
      <w:szCs w:val="24"/>
      <w:lang w:val="ru-RU" w:eastAsia="ru-RU" w:bidi="ar-SA"/>
    </w:rPr>
  </w:style>
  <w:style w:type="paragraph" w:styleId="Style19">
    <w:name w:val="Subtitle"/>
    <w:basedOn w:val="Standard"/>
    <w:next w:val="Standard"/>
    <w:qFormat/>
    <w:pPr/>
    <w:rPr>
      <w:rFonts w:ascii="XO Thames" w:hAnsi="XO Thames" w:eastAsia="XO Thames" w:cs="XO Thames"/>
      <w:i/>
      <w:iCs/>
      <w:color w:val="616161"/>
    </w:rPr>
  </w:style>
  <w:style w:type="paragraph" w:styleId="10" w:customStyle="1">
    <w:name w:val="Оглавление 10"/>
    <w:basedOn w:val="Standard"/>
    <w:next w:val="Standard"/>
    <w:qFormat/>
    <w:pPr>
      <w:ind w:left="1800" w:hanging="0"/>
    </w:pPr>
    <w:rPr/>
  </w:style>
  <w:style w:type="paragraph" w:styleId="Style20">
    <w:name w:val="Title"/>
    <w:basedOn w:val="Standard"/>
    <w:next w:val="Standard"/>
    <w:qFormat/>
    <w:pPr/>
    <w:rPr>
      <w:rFonts w:ascii="XO Thames" w:hAnsi="XO Thames" w:eastAsia="XO Thames" w:cs="XO Thames"/>
      <w:b/>
      <w:bCs/>
      <w:sz w:val="52"/>
      <w:szCs w:val="52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yle21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c7407a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LibreOffice/7.2.4.1$Linux_X86_64 LibreOffice_project/20$Build-1</Application>
  <AppVersion>15.0000</AppVersion>
  <Pages>4</Pages>
  <Words>1114</Words>
  <Characters>5990</Characters>
  <CharactersWithSpaces>6830</CharactersWithSpaces>
  <Paragraphs>52</Paragraphs>
  <Company>RTN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2022-12-27T07:08:00Z</dcterms:created>
  <dc:creator>Василевский Александр Антонович</dc:creator>
  <dc:description/>
  <dc:language>ru-RU</dc:language>
  <cp:lastModifiedBy/>
  <cp:lastPrinted>2022-12-26T12:32:00Z</cp:lastPrinted>
  <dcterms:modified xsi:type="dcterms:W3CDTF">2023-01-16T18:17:57Z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